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EEF" w:rsidRPr="00061EEF" w:rsidRDefault="00061EEF" w:rsidP="00061EEF">
      <w:pPr>
        <w:shd w:val="clear" w:color="auto" w:fill="FFFFFF"/>
        <w:spacing w:after="0" w:line="276" w:lineRule="atLeast"/>
        <w:ind w:left="-851" w:right="468"/>
        <w:textAlignment w:val="baseline"/>
        <w:outlineLvl w:val="2"/>
        <w:rPr>
          <w:b/>
          <w:sz w:val="32"/>
          <w:szCs w:val="32"/>
          <w:shd w:val="clear" w:color="auto" w:fill="FFFFFF"/>
        </w:rPr>
      </w:pPr>
      <w:r w:rsidRPr="00061EEF">
        <w:rPr>
          <w:b/>
          <w:sz w:val="32"/>
          <w:szCs w:val="32"/>
          <w:shd w:val="clear" w:color="auto" w:fill="FFFFFF"/>
        </w:rPr>
        <w:t>Κύριες παρεμβάσεις που πρέπει να γίνουν στην κωδικοποίηση του σχεδίου λογαριασμών του Ε.Γ.Λ.Σ. για την προσαρμογή του στις απαιτήσεις του Ν. 4308/2014, εφόσον προκριθεί η τήρησή του από τις οντότητες όπως προτάθηκαν από τους συντάκτες του νόμου</w:t>
      </w:r>
    </w:p>
    <w:p w:rsidR="00061EEF" w:rsidRPr="00061EEF" w:rsidRDefault="00061EEF" w:rsidP="00061EEF">
      <w:pPr>
        <w:pStyle w:val="style2"/>
        <w:ind w:left="-851"/>
        <w:rPr>
          <w:b/>
          <w:sz w:val="28"/>
          <w:szCs w:val="28"/>
        </w:rPr>
      </w:pPr>
      <w:r w:rsidRPr="00061EEF">
        <w:rPr>
          <w:b/>
          <w:sz w:val="28"/>
          <w:szCs w:val="28"/>
        </w:rPr>
        <w:t>α) Βασικές αλλαγές στους λογαριασμούς ενεργητικού</w:t>
      </w:r>
    </w:p>
    <w:p w:rsidR="00061EEF" w:rsidRDefault="00061EEF" w:rsidP="00061EEF">
      <w:pPr>
        <w:pStyle w:val="style3"/>
        <w:ind w:left="-851"/>
      </w:pPr>
      <w:r>
        <w:t>Σε ότι αφορά το σχέδιο λογαριασμών για την παρακολούθηση των περιουσιακών στοιχείων (ενεργητικό) της οντότητας, οι κύριες παρεμβάσεις συνοψίζονται στα ακόλουθα σημεία:</w:t>
      </w:r>
    </w:p>
    <w:p w:rsidR="00061EEF" w:rsidRDefault="00061EEF" w:rsidP="00061EEF">
      <w:pPr>
        <w:pStyle w:val="style4"/>
        <w:ind w:left="-851"/>
      </w:pPr>
      <w:r>
        <w:rPr>
          <w:b/>
        </w:rPr>
        <w:t>1.</w:t>
      </w:r>
      <w:r>
        <w:t> Δημιουργείται ιδιαίτερη σειρά λογαριασμών για την παρακολούθηση των επεν</w:t>
      </w:r>
      <w:r>
        <w:softHyphen/>
        <w:t>δυτικών ακινήτων (κτήρια και γη). Σημειώνεται, ότι τα εκτός εκμετάλλευσης ακίνη</w:t>
      </w:r>
      <w:r>
        <w:softHyphen/>
        <w:t>τα του Ε.Γ.Λ.Σ. θεωρούνται κατά κανόνα, από λογιστική άποψη, επενδυτικά.</w:t>
      </w:r>
    </w:p>
    <w:p w:rsidR="00061EEF" w:rsidRDefault="00061EEF" w:rsidP="00061EEF">
      <w:pPr>
        <w:pStyle w:val="style4"/>
        <w:ind w:left="-851"/>
      </w:pPr>
      <w:r>
        <w:rPr>
          <w:b/>
        </w:rPr>
        <w:t>2.</w:t>
      </w:r>
      <w:r>
        <w:t> Προβλέπεται διαχωρισμός της αξίας γης αυτής καθαυτής από την αξία υπερ</w:t>
      </w:r>
      <w:r>
        <w:softHyphen/>
        <w:t>κείμενων δασών ή φυτειών, ή την αξία του μεταλλεύματος ενός ορυχείου, τα οποία, από λογιστική άποψη, αποτελούν διακριτά περιουσιακά στοιχεία.</w:t>
      </w:r>
    </w:p>
    <w:p w:rsidR="00061EEF" w:rsidRDefault="00061EEF" w:rsidP="00061EEF">
      <w:pPr>
        <w:pStyle w:val="style4"/>
        <w:ind w:left="-851"/>
      </w:pPr>
      <w:r>
        <w:rPr>
          <w:b/>
        </w:rPr>
        <w:t>3.</w:t>
      </w:r>
      <w:r>
        <w:t> Τα πάγια που κατέχονται με χρηματοδοτική μίσθωση παρακολουθούνται δια</w:t>
      </w:r>
      <w:r>
        <w:softHyphen/>
        <w:t>κριτά είτε σε ιδιαίτερο υπολογαριασμό του λογιστικού σχεδίου είτε μέσω των υποσυστημάτων, κατά την κρίση της οντότητας.</w:t>
      </w:r>
    </w:p>
    <w:p w:rsidR="00061EEF" w:rsidRDefault="00061EEF" w:rsidP="00061EEF">
      <w:pPr>
        <w:pStyle w:val="style4"/>
        <w:ind w:left="-851"/>
      </w:pPr>
      <w:r>
        <w:rPr>
          <w:b/>
        </w:rPr>
        <w:t>4.</w:t>
      </w:r>
      <w:r>
        <w:t> Τα πάγια βιολογικά περιουσιακά στοιχεία (ζώντα ζώα και φυτά) μεταφέρονται από τους λογαριασμούς 10 «Εδαφικές εκτάσεις» και 14 «Έπιπλα και λοιπός εξο</w:t>
      </w:r>
      <w:r>
        <w:softHyphen/>
        <w:t>πλισμός» του Ε.Γ.Λ.Σ. στο (νέο) λογαριασμό 17 «Βιολογικά πάγια», στον οποίο παρακολουθούνται εφεξής.</w:t>
      </w:r>
    </w:p>
    <w:p w:rsidR="00061EEF" w:rsidRDefault="00061EEF" w:rsidP="00061EEF">
      <w:pPr>
        <w:pStyle w:val="style4"/>
        <w:ind w:left="-851"/>
      </w:pPr>
      <w:r>
        <w:rPr>
          <w:b/>
        </w:rPr>
        <w:t>5.</w:t>
      </w:r>
      <w:r>
        <w:t> Καταργούνται ορισμένοι λογαριασμοί άυλων παγίων του Ε.Γ.Λ.Σ., των οποίων τα στοιχεία είτε δεν καλύπτουν τα κριτήρια αναγνώρισης ως πάγια των Ε.Λ.Π. και αντιμετωπίζονται ως έξοδα, είτε τυγχάνουν διαφορετικού λογιστικού χει</w:t>
      </w:r>
      <w:r>
        <w:softHyphen/>
        <w:t>ρισμού (π.χ. «Έξοδα ίδρυσης και πρώτης εγκατάστασης», «Συναλλαγματικές διαφορές δανείων για κτήση πάγιων στοιχείων», «Έξοδα έρευνας» και «Τόκοι κατασκευαστικής περιόδου» - κωδικοί 16.10 έως 16.98).</w:t>
      </w:r>
    </w:p>
    <w:p w:rsidR="00061EEF" w:rsidRDefault="00061EEF" w:rsidP="00061EEF">
      <w:pPr>
        <w:pStyle w:val="style4"/>
        <w:ind w:left="-851"/>
      </w:pPr>
      <w:r>
        <w:rPr>
          <w:b/>
        </w:rPr>
        <w:t>6.</w:t>
      </w:r>
      <w:r>
        <w:t> Τα πάσης φύσεως βιολογικά αποθέματα (βιολογικά περιουσιακά στοιχεία του κυκλοφορούντος ενεργητικού - ζώντα ζώα και φυτά), παρακολουθούνται εφε</w:t>
      </w:r>
      <w:r>
        <w:softHyphen/>
        <w:t>ξής στο (νέο) λογαριασμό 27 «Βιολογικά αποθέματα».</w:t>
      </w:r>
    </w:p>
    <w:p w:rsidR="00061EEF" w:rsidRDefault="00061EEF" w:rsidP="00061EEF">
      <w:pPr>
        <w:pStyle w:val="style4"/>
        <w:ind w:left="-851"/>
      </w:pPr>
      <w:r>
        <w:rPr>
          <w:b/>
        </w:rPr>
        <w:t>7.</w:t>
      </w:r>
      <w:r>
        <w:t> Για τους κατεχόμενους χρεωστικούς τίτλους (ομόλογα και έντοκα γραμμάτια), παρακολουθείται το ονομαστικό ποσό, οι δουλευμένοι κατά την απόκτηση τόκοι, εάν υπάρχουν, καθώς και πρόσθετα στοιχεία του κόστους απόκτησης αυτών, όπως ποσό υπέρ το άρτιο (</w:t>
      </w:r>
      <w:r>
        <w:rPr>
          <w:lang w:val="en-US"/>
        </w:rPr>
        <w:t>premium</w:t>
      </w:r>
      <w:r>
        <w:t>), ποσό υπό το άρτιο (</w:t>
      </w:r>
      <w:r>
        <w:rPr>
          <w:lang w:val="en-US"/>
        </w:rPr>
        <w:t>discount</w:t>
      </w:r>
      <w:r>
        <w:t>), και άμεσα κόστη απόκτησης (</w:t>
      </w:r>
      <w:r>
        <w:rPr>
          <w:lang w:val="en-US"/>
        </w:rPr>
        <w:t>transaction</w:t>
      </w:r>
      <w:r w:rsidRPr="00061EEF">
        <w:t xml:space="preserve"> </w:t>
      </w:r>
      <w:r>
        <w:rPr>
          <w:lang w:val="en-US"/>
        </w:rPr>
        <w:t>costs</w:t>
      </w:r>
      <w:r>
        <w:t>). Οι πληροφορίες αυτές είναι απαραίτητες για φορολογικούς σκοπούς, αλλά και για την επιμέτρηση των σχετικών στοιχεί</w:t>
      </w:r>
      <w:r>
        <w:softHyphen/>
        <w:t>ων με τη μέθοδο του αποσβέσιμου κόστους (</w:t>
      </w:r>
      <w:r>
        <w:rPr>
          <w:lang w:val="en-US"/>
        </w:rPr>
        <w:t>amortized</w:t>
      </w:r>
      <w:r w:rsidRPr="00061EEF">
        <w:t xml:space="preserve"> </w:t>
      </w:r>
      <w:r>
        <w:rPr>
          <w:lang w:val="en-US"/>
        </w:rPr>
        <w:t>cost</w:t>
      </w:r>
      <w:r>
        <w:t>), όταν τα εν λόγω ποσά είναι σημαντικά και δεν μεταφέρονται άμεσα στα αποτελέσματα.</w:t>
      </w:r>
    </w:p>
    <w:p w:rsidR="00061EEF" w:rsidRDefault="00061EEF" w:rsidP="00061EEF">
      <w:pPr>
        <w:pStyle w:val="style3"/>
        <w:ind w:left="-851"/>
      </w:pPr>
      <w:r>
        <w:rPr>
          <w:b/>
        </w:rPr>
        <w:t>8.</w:t>
      </w:r>
      <w:r>
        <w:t xml:space="preserve"> Τα ποσά των διαφόρων λογαριασμών των βραχυπρόθεσμων απαιτήσεων που σχετίζονται με το λειτουργικό κύκλωμα της δραστηριότητας της οντότητας (π.χ.: 31 «Γραμμάτια </w:t>
      </w:r>
      <w:r>
        <w:lastRenderedPageBreak/>
        <w:t>εισπρακτέα» και 33.90 «Επιταγές εισπρακτέες μεταχρονολογημένες»), εμφανίζονται στο κονδύλι «Εμπορικές απαιτήσεις», μαζί με το λογαρια</w:t>
      </w:r>
      <w:r>
        <w:softHyphen/>
        <w:t>σμό 30 «Πελάτες». </w:t>
      </w:r>
    </w:p>
    <w:p w:rsidR="00061EEF" w:rsidRPr="00061EEF" w:rsidRDefault="00061EEF" w:rsidP="00061EEF">
      <w:pPr>
        <w:pStyle w:val="style4"/>
        <w:ind w:left="-851"/>
        <w:rPr>
          <w:b/>
          <w:sz w:val="28"/>
          <w:szCs w:val="28"/>
        </w:rPr>
      </w:pPr>
      <w:r w:rsidRPr="00061EEF">
        <w:rPr>
          <w:b/>
          <w:sz w:val="28"/>
          <w:szCs w:val="28"/>
        </w:rPr>
        <w:t>β) Βασικές αλλαγές στους Λογαριασμούς καθαρής θέσης και υποχρεώσεων</w:t>
      </w:r>
    </w:p>
    <w:p w:rsidR="00061EEF" w:rsidRDefault="00061EEF" w:rsidP="00061EEF">
      <w:pPr>
        <w:pStyle w:val="style2"/>
        <w:ind w:left="-851"/>
      </w:pPr>
      <w:r>
        <w:rPr>
          <w:b/>
        </w:rPr>
        <w:t>1.</w:t>
      </w:r>
      <w:r>
        <w:t xml:space="preserve"> Παύουν να χρησιμοποιούνται ορισμένοι λογαριασμοί αποθεματικών του Ε.Γ.Λ.Σ., όταν εφεξής η νομοθεσία δεν προβλέπει το σχηματισμό τους.</w:t>
      </w:r>
    </w:p>
    <w:p w:rsidR="00061EEF" w:rsidRDefault="00061EEF" w:rsidP="00061EEF">
      <w:pPr>
        <w:pStyle w:val="style2"/>
        <w:ind w:left="-851"/>
      </w:pPr>
      <w:r>
        <w:rPr>
          <w:b/>
        </w:rPr>
        <w:t>2.</w:t>
      </w:r>
      <w:r>
        <w:t xml:space="preserve"> Οι επιχορηγήσεις πάγιων επενδύσεων αντιμετωπίζονται εφεξής ως υποχρέωση (έσοδο επομένων περιόδων), που μεταφέρεται στα έσοδα με τρόπο ανάλογο των αποσβέσεων των επιχορηγηθέντων παγίων, και όχι ως καθαρή θέση.</w:t>
      </w:r>
    </w:p>
    <w:p w:rsidR="00061EEF" w:rsidRDefault="00061EEF" w:rsidP="00061EEF">
      <w:pPr>
        <w:pStyle w:val="style2"/>
        <w:ind w:left="-851"/>
      </w:pPr>
      <w:r>
        <w:rPr>
          <w:b/>
        </w:rPr>
        <w:t>3.</w:t>
      </w:r>
      <w:r>
        <w:t xml:space="preserve"> Το σύνολο του κονδυλίου της καθαρής θέσης «Αποτελέσματα εις νέο» διακρί</w:t>
      </w:r>
      <w:r>
        <w:softHyphen/>
        <w:t>νεται εφεξής:</w:t>
      </w:r>
    </w:p>
    <w:p w:rsidR="00061EEF" w:rsidRDefault="00061EEF" w:rsidP="00061EEF">
      <w:pPr>
        <w:pStyle w:val="style3"/>
        <w:ind w:left="-851"/>
      </w:pPr>
      <w:r>
        <w:rPr>
          <w:b/>
        </w:rPr>
        <w:t>α)</w:t>
      </w:r>
      <w:r>
        <w:t xml:space="preserve"> στο μέρος το οποίο έχει υποβληθεί σε φορολογία εισοδήματος και συνε</w:t>
      </w:r>
      <w:r>
        <w:softHyphen/>
        <w:t>πώς, μετά την αφαίρεση του υπό (β) κατωτέρω, δύναται να διανεμηθεί ως ελεύθερο φόρου,</w:t>
      </w:r>
    </w:p>
    <w:p w:rsidR="00061EEF" w:rsidRDefault="00061EEF" w:rsidP="00061EEF">
      <w:pPr>
        <w:pStyle w:val="style3"/>
        <w:ind w:left="-851"/>
      </w:pPr>
      <w:r>
        <w:rPr>
          <w:b/>
        </w:rPr>
        <w:t>β)</w:t>
      </w:r>
      <w:r>
        <w:t xml:space="preserve"> στο μέρος (αρνητικό ποσό) το οποίο προέρχεται από μόνιμες διαφορές λογιστικής και φορολογικής βάσης και,</w:t>
      </w:r>
    </w:p>
    <w:p w:rsidR="00061EEF" w:rsidRDefault="00061EEF" w:rsidP="00061EEF">
      <w:pPr>
        <w:pStyle w:val="style3"/>
        <w:ind w:left="-851"/>
      </w:pPr>
      <w:r>
        <w:rPr>
          <w:b/>
        </w:rPr>
        <w:t>γ)</w:t>
      </w:r>
      <w:r>
        <w:t xml:space="preserve"> στο μέρος (αρνητικό ή θετικό ποσό) που προέρχεται από προσωρινές δια</w:t>
      </w:r>
      <w:r>
        <w:softHyphen/>
        <w:t>φορές λογιστικής και φορολογικής βάσης.</w:t>
      </w:r>
    </w:p>
    <w:p w:rsidR="00061EEF" w:rsidRDefault="00061EEF" w:rsidP="00061EEF">
      <w:pPr>
        <w:pStyle w:val="style2"/>
        <w:ind w:left="-851"/>
      </w:pPr>
      <w:r>
        <w:rPr>
          <w:b/>
        </w:rPr>
        <w:t>4.</w:t>
      </w:r>
      <w:r>
        <w:t xml:space="preserve"> Τα υπάρχοντα κατά την ημερομηνία εφαρμογής του νόμου αφορολόγητα απο</w:t>
      </w:r>
      <w:r>
        <w:softHyphen/>
        <w:t>θεματικά, για τα οποία δεν έχει καταβληθεί φόρος εισοδήματος, παρακολου</w:t>
      </w:r>
      <w:r>
        <w:softHyphen/>
        <w:t>θούνται διακεκριμένα μέχρι την οριστική φορολογική τους διευθέτηση.</w:t>
      </w:r>
    </w:p>
    <w:p w:rsidR="00061EEF" w:rsidRDefault="00061EEF" w:rsidP="00061EEF">
      <w:pPr>
        <w:pStyle w:val="style2"/>
        <w:ind w:left="-851"/>
      </w:pPr>
      <w:r>
        <w:rPr>
          <w:b/>
        </w:rPr>
        <w:t>5.</w:t>
      </w:r>
      <w:r>
        <w:t xml:space="preserve"> Οι προβλέψεις «απαξίωσης και υποτίμησης» περιουσιακών στοιχείων ως στοι</w:t>
      </w:r>
      <w:r>
        <w:softHyphen/>
        <w:t>χείο του ισολογισμού παρακολουθούνται εφεξής εντός του αντίστοιχου λογα</w:t>
      </w:r>
      <w:r>
        <w:softHyphen/>
        <w:t>ριασμού του ενεργητικού με τη χρήση αντίθετου, και όχι στις προβλέψεις του λογαριασμού 44 στο παθητικό.</w:t>
      </w:r>
    </w:p>
    <w:p w:rsidR="00061EEF" w:rsidRDefault="00061EEF" w:rsidP="00061EEF">
      <w:pPr>
        <w:pStyle w:val="style2"/>
        <w:ind w:left="-851"/>
      </w:pPr>
      <w:r>
        <w:rPr>
          <w:b/>
        </w:rPr>
        <w:t>6.</w:t>
      </w:r>
      <w:r>
        <w:t xml:space="preserve"> Εισάγεται ο λογαριασμός 46 «Αναβαλλόμενος φόρος» για την παρακολούθηση του σχετικού κονδυλίου του ισολογισμού, ανεξαρτήτως του υπολοίπου που παρουσι</w:t>
      </w:r>
      <w:r>
        <w:softHyphen/>
        <w:t xml:space="preserve">άζει στο τέλος της περιόδου (πιστωτικό ή χρεωστικό). Σημειώνεται, ότι ο λογισμός του αναβαλλόμενου φόρου είναι προαιρετικής εφαρμογής κατά το Ν. </w:t>
      </w:r>
      <w:hyperlink r:id="rId5" w:tgtFrame="_blank" w:history="1">
        <w:r>
          <w:rPr>
            <w:rStyle w:val="-"/>
          </w:rPr>
          <w:t>4308/2014</w:t>
        </w:r>
      </w:hyperlink>
      <w:r>
        <w:t>.</w:t>
      </w:r>
    </w:p>
    <w:p w:rsidR="00061EEF" w:rsidRDefault="00061EEF" w:rsidP="00061EEF">
      <w:pPr>
        <w:pStyle w:val="style2"/>
        <w:ind w:left="-851"/>
      </w:pPr>
      <w:r>
        <w:rPr>
          <w:b/>
        </w:rPr>
        <w:t>7.</w:t>
      </w:r>
      <w:r>
        <w:t xml:space="preserve"> Τα ποσά διαφόρων λογαριασμών βραχυπρόθεσμων υποχρεώσεων που σχετίζονται με το λειτουργικό κύκλωμα της δραστηριότητας της οντότητας (π.χ.: 51 «Γραμμάτια πληρωτέα», 53 «Πιστωτές διάφοροι», 53.90 «Επιταγές πληρωτέες μεταχρονολογημένες»), εμφανίζονται στο κονδύλι «Εμπορικές υποχρεώσεις», μαζί με το λογαριασμό 50 «Προμηθευτές».</w:t>
      </w:r>
    </w:p>
    <w:p w:rsidR="00061EEF" w:rsidRPr="00061EEF" w:rsidRDefault="00061EEF" w:rsidP="00061EEF">
      <w:pPr>
        <w:pStyle w:val="style2"/>
        <w:ind w:left="-851"/>
        <w:jc w:val="both"/>
        <w:rPr>
          <w:b/>
          <w:sz w:val="28"/>
          <w:szCs w:val="28"/>
        </w:rPr>
      </w:pPr>
      <w:bookmarkStart w:id="0" w:name="_GoBack"/>
      <w:r w:rsidRPr="00061EEF">
        <w:rPr>
          <w:b/>
          <w:sz w:val="28"/>
          <w:szCs w:val="28"/>
        </w:rPr>
        <w:t>γ) Βασικές αλλαγές στους αποτελεσματικούς λογαριασμούς</w:t>
      </w:r>
    </w:p>
    <w:bookmarkEnd w:id="0"/>
    <w:p w:rsidR="00061EEF" w:rsidRDefault="00061EEF" w:rsidP="00061EEF">
      <w:pPr>
        <w:pStyle w:val="style4"/>
        <w:ind w:left="-851"/>
      </w:pPr>
      <w:r>
        <w:rPr>
          <w:b/>
        </w:rPr>
        <w:t>1.</w:t>
      </w:r>
      <w:r>
        <w:t> Το σύνολο των δαπανών για πάσης φύσεως παροχές προς εργαζόμενους σε αντάλλαγμα για παρεχόμενες υπηρεσίες παρακολουθείται στο λογαριασμό 60 «Παροχές σε εργαζόμενους», ανεξαρτήτως της νομικής φύσης της σχέσης ερ</w:t>
      </w:r>
      <w:r>
        <w:softHyphen/>
        <w:t>γαζόμενου - οντότητας, της ασφαλιστικής κάλυψης ή του τρόπου με τον οποίο φορολογείται η παροχή. Αυτό συνεπάγεται, ότι μεταφέρονται στον λογαριασμό 60 τα πάσης φύσεως ποσά που αφορούν παροχές σε εργαζόμενους και σε μέλη της διοίκησης, και τα οποία στο πλαίσιο του Ε.Γ.Λ.Σ. εμφανίζονταν κατά πε</w:t>
      </w:r>
      <w:r>
        <w:softHyphen/>
        <w:t>ρίπτωση είτε ως διανομή κερδών (λογαριασμός 88) είτε ως αμοιβές τρίτων (λογαριασμός 61.01.00). Σημειώνεται, ότι ακόμη και ποσά του λογαριασμού 62 «Παροχές τρίτων» που αφορούν στην ουσία μέρος του συνολικού κόστους των αμοιβών στο προσωπικό (π.χ. ενοίκια μεταφορικών μέσων που παρέχονται σε εργαζόμενους) ενδείκνυται να μεταφερθούν στο λογαριασμό 60. Σε κάθε περί</w:t>
      </w:r>
      <w:r>
        <w:softHyphen/>
        <w:t>πτωση τα σχετικά ποσά πρέπει να ενσωματωθούν στα αντίστοιχα κονδύλια των χρηματοοικονομικών καταστάσεων.</w:t>
      </w:r>
    </w:p>
    <w:p w:rsidR="00061EEF" w:rsidRDefault="00061EEF" w:rsidP="00061EEF">
      <w:pPr>
        <w:pStyle w:val="style4"/>
        <w:ind w:left="-851"/>
      </w:pPr>
      <w:r>
        <w:rPr>
          <w:b/>
        </w:rPr>
        <w:t>2.</w:t>
      </w:r>
      <w:r>
        <w:t> Το σύνολο του φόρου εισοδήματος (τρέχοντος και αναβαλλόμενου), καθώς και οι προσαυξήσεις φορολογικών ελέγχων για φόρο εισοδήματος παρακολουθούνται εφεξής ως έξοδα της σχετικής περιόδου (στο λογαριασμό 88.08 «Φόρος εισοδήματος» της αναμορφωμένης ομάδας 8 του Ε.Γ.Λ.Σ.). Σημειώνεται, ότι έχει πλέον καταργηθεί ο «Πίνακας διάθεσης αποτελεσμάτων» του Ε.Γ.Λ.Σ.</w:t>
      </w:r>
    </w:p>
    <w:p w:rsidR="00061EEF" w:rsidRDefault="00061EEF" w:rsidP="00061EEF">
      <w:pPr>
        <w:pStyle w:val="style4"/>
        <w:ind w:left="-851"/>
      </w:pPr>
      <w:r>
        <w:rPr>
          <w:b/>
        </w:rPr>
        <w:t>3.</w:t>
      </w:r>
      <w:r>
        <w:t> Οι ζημιές απομείωσης των πάσης φύσεως περιουσιακών στοιχείων, καθώς κα τα τυχόντα κέρδη από αναστροφή τους, παρακολουθούνται εφεξής στο λογαριασμό 68 του Ε.Γ.Λ.Σ., ο οποίος εκκαθαρίζεται και χρησιμοποιείται αποκλειστικά για αυτό το σκοπό. Εφεξής, καταργούνται οι αποτελεσματικοί λογαριασμοί στους οποίους παρακολουθούνταν τα σχετικά ποσά στα πλαίσια του Ε.Γ.Λ.Σ (64.11 «Διαφορές αποτιμήσεως συμμετοχών και χρεογράφων» και 83.10 «Προβλέψεις απαξιώσεων και υποτιμήσεων πάγιων στοιχείων».</w:t>
      </w:r>
    </w:p>
    <w:p w:rsidR="00061EEF" w:rsidRDefault="00061EEF" w:rsidP="00061EEF">
      <w:pPr>
        <w:pStyle w:val="style2"/>
        <w:ind w:left="-851"/>
      </w:pPr>
      <w:r>
        <w:rPr>
          <w:b/>
        </w:rPr>
        <w:t>4.</w:t>
      </w:r>
      <w:r>
        <w:t xml:space="preserve"> Οι θετικές ή αρνητικές διαφορές (κέρδη / ζημιές) εύλογης αξίας των σχετικών περιουσιακών στοιχείων, όταν έχει επιλεγεί η επιμέτρηση στην εύλογη αξία και οι διαφορές αυτές αναγνωρίζονται στα αποτελέσματα ως κέρδη και ζημίες, παρακολουθούνται στο λογαριασμό 67.30 «Κέρδη / Ζημιές εύλογης αξίας».</w:t>
      </w:r>
    </w:p>
    <w:p w:rsidR="00061EEF" w:rsidRDefault="00061EEF" w:rsidP="00061EEF">
      <w:pPr>
        <w:pStyle w:val="style4"/>
        <w:ind w:left="-851"/>
      </w:pPr>
      <w:r>
        <w:rPr>
          <w:b/>
        </w:rPr>
        <w:t>5.</w:t>
      </w:r>
      <w:r>
        <w:t> Οι ζημιές και τα κέρδη από την διάθεση χρηματοοικονομικών στοιχείων του μη κυ</w:t>
      </w:r>
      <w:r>
        <w:softHyphen/>
        <w:t>κλοφορούντος ενεργητικού (λογαριασμός 18) και του κυκλοφορούντος ενεργητι</w:t>
      </w:r>
      <w:r>
        <w:softHyphen/>
        <w:t>κού (λογαριασμός 34), παρακολουθούνται εφεξής στους λογαριασμούς του 81.02 «Ζημίες από διάθεση περιουσιακών στοιχείων» και 81.03 «Κέρδη από διάθεση περιουσιακών στοιχείων». Συνεπώς, εφεξής καταργούνται οι λογαριασμοί 64.12 «Διαφορές (ζημιές) από πώληση συμμετοχών και χρεογράφων» (ομάδα 6) και 76.04 «Διαφορές (κέρδη) από πώληση συμμετοχών και χρεογράφων» (ομάδα 7).</w:t>
      </w:r>
    </w:p>
    <w:p w:rsidR="00061EEF" w:rsidRDefault="00061EEF" w:rsidP="00061EEF">
      <w:pPr>
        <w:pStyle w:val="style4"/>
        <w:ind w:left="-851"/>
      </w:pPr>
      <w:r>
        <w:rPr>
          <w:b/>
        </w:rPr>
        <w:t>6.</w:t>
      </w:r>
      <w:r>
        <w:t> Οι προβλέψεις που αφορούν έξοδα, π.χ. «Προβλέψεις για αποζημίωση προ</w:t>
      </w:r>
      <w:r>
        <w:softHyphen/>
        <w:t>σωπικού λόγω εξόδου από την υπηρεσία», εφεξής παρακολουθούνται στον σχετικό πρωτοβάθμιο λογαριασμό εξόδου της ομάδας 6. Εναλλακτικά, για την παρακολούθηση των προβλέψεων χρησιμοποιείται ο αναμορφωμένος λογα</w:t>
      </w:r>
      <w:r>
        <w:softHyphen/>
        <w:t>ριασμός 83 «Προβλέψεις» (προηγούμενος τίτλος «Προβλέψεις για εκτάκτους κινδύνους») της ομάδας 8.</w:t>
      </w:r>
    </w:p>
    <w:p w:rsidR="00061EEF" w:rsidRDefault="00061EEF" w:rsidP="00061EEF">
      <w:pPr>
        <w:pStyle w:val="style4"/>
        <w:ind w:left="-851"/>
      </w:pPr>
      <w:r>
        <w:rPr>
          <w:b/>
        </w:rPr>
        <w:t>7.</w:t>
      </w:r>
      <w:r>
        <w:t> Η χρήση των λογαριασμών 78.10 «Έσοδα από ιδιόχρηση αποθεμάτων» και 78.11 «Αξία καταστραφέντων ακαταλλήλων αποθεμάτων», με χρέωση σχετικού λογαριασμού εξόδου, είναι προαιρετική στα πλαίσια των Ε.Λ.Π. Όταν η οντότητα, επιπρόσθετα της απαιτούμενης τεκμηρίωσης, επιλέγει να παρακολουθεί λογιστι</w:t>
      </w:r>
      <w:r>
        <w:softHyphen/>
        <w:t>κά τα μεγέθη αυτά, δεν επιτρέπεται με τα ποσά των εν λόγω λογαριασμών να αυ</w:t>
      </w:r>
      <w:r>
        <w:softHyphen/>
        <w:t>ξάνει ισόποσα τα κονδύλια (έσοδα και έξοδα) της κατάστασης αποτελεσμάτων.</w:t>
      </w:r>
    </w:p>
    <w:p w:rsidR="00061EEF" w:rsidRDefault="00061EEF" w:rsidP="00061EEF">
      <w:pPr>
        <w:pStyle w:val="style4"/>
        <w:ind w:left="-851"/>
      </w:pPr>
      <w:r>
        <w:rPr>
          <w:b/>
        </w:rPr>
        <w:t>8.</w:t>
      </w:r>
      <w:r>
        <w:t> Καταργείται η υποχρέωση τήρησης του λογαριασμού 80 «Γενική Εκμετάλλευση» και σύνταξης της σχετικής κατάστασης.</w:t>
      </w:r>
    </w:p>
    <w:p w:rsidR="00061EEF" w:rsidRDefault="00061EEF" w:rsidP="00061EEF">
      <w:pPr>
        <w:pStyle w:val="style4"/>
        <w:ind w:left="-851"/>
      </w:pPr>
      <w:r>
        <w:rPr>
          <w:b/>
        </w:rPr>
        <w:t>9.</w:t>
      </w:r>
      <w:r>
        <w:t> Ο χαρακτηρισμός εσόδων, κερδών, εξόδων ή ζημιών ως έκτακτα και ανόργανα στοιχεία στα πλαίσια του Ε.Γ.Λ.Σ., δεν έχει εφαρμογή στα πλαίσια των Ε.Λ.Π. Κατά συνέπεια, ο λογαριασμός 81 «Έκτακτα και ανόργανα αποτελέσματα» με</w:t>
      </w:r>
      <w:r>
        <w:softHyphen/>
        <w:t>τονομάζεται σε «Λοιπά μη συνήθη κέρδη και ζημίες».</w:t>
      </w:r>
    </w:p>
    <w:p w:rsidR="00061EEF" w:rsidRDefault="00061EEF" w:rsidP="00061EEF">
      <w:pPr>
        <w:pStyle w:val="style4"/>
        <w:ind w:left="-851"/>
      </w:pPr>
      <w:r>
        <w:rPr>
          <w:b/>
        </w:rPr>
        <w:t>10.</w:t>
      </w:r>
      <w:r>
        <w:t xml:space="preserve"> Ο λογαριασμός του Ε.Γ.Λ.Σ. 82 «Έξοδα και έσοδα προηγούμενων χρήσεων» καταργείται, καθώς τα σχετικά ποσά αντιμετωπίζονται στο πλαίσιο των Ε.Λ.Π. εφεξής είτε ως στοιχεία αποτελεσμάτων της περιόδου, με προσθήκη γνωστο</w:t>
      </w:r>
      <w:r>
        <w:softHyphen/>
        <w:t>ποίησης στο προσάρτημα όπου συντρέχει περίπτωση, είτε ως διόρθωση λαθών κατά το άρθρο 28 του νόμου.</w:t>
      </w:r>
    </w:p>
    <w:p w:rsidR="00061EEF" w:rsidRDefault="00061EEF" w:rsidP="00061EEF">
      <w:pPr>
        <w:pStyle w:val="style4"/>
        <w:ind w:left="-851"/>
      </w:pPr>
      <w:r>
        <w:rPr>
          <w:b/>
        </w:rPr>
        <w:t>11.</w:t>
      </w:r>
      <w:r>
        <w:t> Ο λογαριασμός 84 «Έσοδα από προβλέψεις προηγούμενων χρήσεων» καταρ</w:t>
      </w:r>
      <w:r>
        <w:softHyphen/>
        <w:t>γείται, καθώς τα σχετικά ποσά ενσωματώνονται στα ποσά των προβλέψεων της περιόδου, τα οποία μειώνουν.</w:t>
      </w:r>
    </w:p>
    <w:p w:rsidR="00061EEF" w:rsidRDefault="00061EEF" w:rsidP="00061EEF">
      <w:pPr>
        <w:pStyle w:val="style5"/>
        <w:ind w:left="-851"/>
      </w:pPr>
      <w:r>
        <w:rPr>
          <w:b/>
        </w:rPr>
        <w:t>12.</w:t>
      </w:r>
      <w:r>
        <w:t xml:space="preserve"> Ο λογαριασμός 85 «Αποσβέσεις παγίων μη ενσωματωμένες στο λειτουργικό κόστος» δεν έχει αντικείμενο στα πλαίσια των Ε.Λ.Π.</w:t>
      </w:r>
    </w:p>
    <w:p w:rsidR="00061EEF" w:rsidRDefault="00061EEF" w:rsidP="00061EEF">
      <w:pPr>
        <w:pStyle w:val="style6"/>
        <w:ind w:left="-851"/>
      </w:pPr>
      <w:r>
        <w:rPr>
          <w:b/>
        </w:rPr>
        <w:t>13.</w:t>
      </w:r>
      <w:r>
        <w:t> Η τήρηση του λογαριασμού 86 «Αποτελέσματα χρήσεως» (εσωλογιστικός προσδιορισμός αποτελεσμάτων) δεν είναι υποχρεωτικής εφαρμογής εφεξής.</w:t>
      </w:r>
    </w:p>
    <w:p w:rsidR="00061EEF" w:rsidRDefault="00061EEF" w:rsidP="00061EEF">
      <w:pPr>
        <w:pStyle w:val="style6"/>
        <w:ind w:left="-851"/>
      </w:pPr>
      <w:r>
        <w:rPr>
          <w:b/>
        </w:rPr>
        <w:t>14.</w:t>
      </w:r>
      <w:r>
        <w:t> Εισάγεται ο προαιρετικός λογαριασμός 87 «Κόστος πωληθέντων - αναλώσεις αποθεμάτων», για την παρακολούθηση της ανάλωσης των αποθεμάτων, στη περίπτωση που η οντότητα επιλέγει την εσωλογιστική παρακολούθησή τους. Ο λογαριασμός 87 κινείται με πίστωση των οικείων λογαριασμών της ομάδας 2.</w:t>
      </w:r>
    </w:p>
    <w:p w:rsidR="00061EEF" w:rsidRDefault="00061EEF" w:rsidP="00061EEF">
      <w:pPr>
        <w:pStyle w:val="style6"/>
        <w:ind w:left="-851"/>
      </w:pPr>
      <w:r>
        <w:rPr>
          <w:b/>
        </w:rPr>
        <w:t>15.</w:t>
      </w:r>
      <w:r>
        <w:t> Η τήρηση του λογαριασμού 88 «Αποτελέσματα προς διάθεση» μετονομάζεται σε «Προσδιορισμός αποτελεσμάτων». Στο λογαριασμό αυτό μεταφέρεται το σύνολο των αποτελεσματικών λογαριασμών και υπολογίζεται το αποτέλεσμα της περιόδου.</w:t>
      </w:r>
    </w:p>
    <w:p w:rsidR="00061EEF" w:rsidRDefault="00061EEF" w:rsidP="00061EEF">
      <w:pPr>
        <w:pStyle w:val="style6"/>
        <w:ind w:left="-851"/>
      </w:pPr>
      <w:r>
        <w:rPr>
          <w:b/>
        </w:rPr>
        <w:t>16.</w:t>
      </w:r>
      <w:r>
        <w:t> Ο φόρος εισοδήματος, τρέχων και αναβαλλόμενος, παρακολουθείται ως έξοδο στην ομάδα 8, ως μέρος του λογαριασμού 88 «Προσδιορισμός αποτελεσμάτων».</w:t>
      </w:r>
    </w:p>
    <w:p w:rsidR="00061EEF" w:rsidRDefault="00061EEF" w:rsidP="00061EEF">
      <w:pPr>
        <w:pStyle w:val="style6"/>
        <w:ind w:left="-851"/>
      </w:pPr>
      <w:r>
        <w:rPr>
          <w:b/>
        </w:rPr>
        <w:t>17.</w:t>
      </w:r>
      <w:r>
        <w:t> Ο λογαριασμός 89 «Ισολογισμός ανοίγματος και κλεισίματος περιόδου» είναι προαιρετικός.»</w:t>
      </w:r>
    </w:p>
    <w:p w:rsidR="006C79FA" w:rsidRDefault="006C79FA"/>
    <w:sectPr w:rsidR="006C79F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EEF"/>
    <w:rsid w:val="00061EEF"/>
    <w:rsid w:val="006C79F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EEF"/>
    <w:pPr>
      <w:spacing w:after="120" w:line="360" w:lineRule="auto"/>
      <w:jc w:val="both"/>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061EEF"/>
    <w:rPr>
      <w:color w:val="0000FF"/>
      <w:u w:val="single"/>
    </w:rPr>
  </w:style>
  <w:style w:type="paragraph" w:customStyle="1" w:styleId="style6">
    <w:name w:val="style6"/>
    <w:basedOn w:val="a"/>
    <w:uiPriority w:val="99"/>
    <w:rsid w:val="00061EEF"/>
    <w:pPr>
      <w:spacing w:before="100" w:beforeAutospacing="1" w:after="100" w:afterAutospacing="1" w:line="240" w:lineRule="auto"/>
      <w:jc w:val="left"/>
    </w:pPr>
  </w:style>
  <w:style w:type="paragraph" w:customStyle="1" w:styleId="style2">
    <w:name w:val="style2"/>
    <w:basedOn w:val="a"/>
    <w:uiPriority w:val="99"/>
    <w:rsid w:val="00061EEF"/>
    <w:pPr>
      <w:spacing w:before="100" w:beforeAutospacing="1" w:after="100" w:afterAutospacing="1" w:line="240" w:lineRule="auto"/>
      <w:jc w:val="left"/>
    </w:pPr>
  </w:style>
  <w:style w:type="paragraph" w:customStyle="1" w:styleId="style3">
    <w:name w:val="style3"/>
    <w:basedOn w:val="a"/>
    <w:uiPriority w:val="99"/>
    <w:rsid w:val="00061EEF"/>
    <w:pPr>
      <w:spacing w:before="100" w:beforeAutospacing="1" w:after="100" w:afterAutospacing="1" w:line="240" w:lineRule="auto"/>
      <w:jc w:val="left"/>
    </w:pPr>
  </w:style>
  <w:style w:type="paragraph" w:customStyle="1" w:styleId="style4">
    <w:name w:val="style4"/>
    <w:basedOn w:val="a"/>
    <w:uiPriority w:val="99"/>
    <w:rsid w:val="00061EEF"/>
    <w:pPr>
      <w:spacing w:before="100" w:beforeAutospacing="1" w:after="100" w:afterAutospacing="1" w:line="240" w:lineRule="auto"/>
      <w:jc w:val="left"/>
    </w:pPr>
  </w:style>
  <w:style w:type="paragraph" w:customStyle="1" w:styleId="style5">
    <w:name w:val="style5"/>
    <w:basedOn w:val="a"/>
    <w:uiPriority w:val="99"/>
    <w:rsid w:val="00061EEF"/>
    <w:pPr>
      <w:spacing w:before="100" w:beforeAutospacing="1" w:after="100" w:afterAutospacing="1" w:line="240" w:lineRule="auto"/>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EEF"/>
    <w:pPr>
      <w:spacing w:after="120" w:line="360" w:lineRule="auto"/>
      <w:jc w:val="both"/>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061EEF"/>
    <w:rPr>
      <w:color w:val="0000FF"/>
      <w:u w:val="single"/>
    </w:rPr>
  </w:style>
  <w:style w:type="paragraph" w:customStyle="1" w:styleId="style6">
    <w:name w:val="style6"/>
    <w:basedOn w:val="a"/>
    <w:uiPriority w:val="99"/>
    <w:rsid w:val="00061EEF"/>
    <w:pPr>
      <w:spacing w:before="100" w:beforeAutospacing="1" w:after="100" w:afterAutospacing="1" w:line="240" w:lineRule="auto"/>
      <w:jc w:val="left"/>
    </w:pPr>
  </w:style>
  <w:style w:type="paragraph" w:customStyle="1" w:styleId="style2">
    <w:name w:val="style2"/>
    <w:basedOn w:val="a"/>
    <w:uiPriority w:val="99"/>
    <w:rsid w:val="00061EEF"/>
    <w:pPr>
      <w:spacing w:before="100" w:beforeAutospacing="1" w:after="100" w:afterAutospacing="1" w:line="240" w:lineRule="auto"/>
      <w:jc w:val="left"/>
    </w:pPr>
  </w:style>
  <w:style w:type="paragraph" w:customStyle="1" w:styleId="style3">
    <w:name w:val="style3"/>
    <w:basedOn w:val="a"/>
    <w:uiPriority w:val="99"/>
    <w:rsid w:val="00061EEF"/>
    <w:pPr>
      <w:spacing w:before="100" w:beforeAutospacing="1" w:after="100" w:afterAutospacing="1" w:line="240" w:lineRule="auto"/>
      <w:jc w:val="left"/>
    </w:pPr>
  </w:style>
  <w:style w:type="paragraph" w:customStyle="1" w:styleId="style4">
    <w:name w:val="style4"/>
    <w:basedOn w:val="a"/>
    <w:uiPriority w:val="99"/>
    <w:rsid w:val="00061EEF"/>
    <w:pPr>
      <w:spacing w:before="100" w:beforeAutospacing="1" w:after="100" w:afterAutospacing="1" w:line="240" w:lineRule="auto"/>
      <w:jc w:val="left"/>
    </w:pPr>
  </w:style>
  <w:style w:type="paragraph" w:customStyle="1" w:styleId="style5">
    <w:name w:val="style5"/>
    <w:basedOn w:val="a"/>
    <w:uiPriority w:val="99"/>
    <w:rsid w:val="00061EEF"/>
    <w:pPr>
      <w:spacing w:before="100" w:beforeAutospacing="1" w:after="100" w:afterAutospacing="1"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79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axheaven.gr/laws/law/index/law/660"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1617</Words>
  <Characters>8738</Characters>
  <Application>Microsoft Office Word</Application>
  <DocSecurity>0</DocSecurity>
  <Lines>72</Lines>
  <Paragraphs>20</Paragraphs>
  <ScaleCrop>false</ScaleCrop>
  <Company>Hewlett-Packard Company</Company>
  <LinksUpToDate>false</LinksUpToDate>
  <CharactersWithSpaces>10335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1</cp:revision>
  <dcterms:created xsi:type="dcterms:W3CDTF">2017-02-15T05:56:00Z</dcterms:created>
  <dcterms:modified xsi:type="dcterms:W3CDTF">2017-02-15T05:59:00Z</dcterms:modified>
</cp:coreProperties>
</file>